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45D3E">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焰色试验创新实验说明</w:t>
      </w:r>
    </w:p>
    <w:p w14:paraId="49E4F9EF">
      <w:pPr>
        <w:numPr>
          <w:ilvl w:val="0"/>
          <w:numId w:val="1"/>
        </w:numPr>
        <w:rPr>
          <w:rFonts w:hint="eastAsia"/>
          <w:lang w:val="en-US" w:eastAsia="zh-CN"/>
        </w:rPr>
      </w:pPr>
      <w:r>
        <w:rPr>
          <w:rFonts w:hint="eastAsia"/>
          <w:lang w:val="en-US" w:eastAsia="zh-CN"/>
        </w:rPr>
        <w:t>实验素材来源：</w:t>
      </w:r>
    </w:p>
    <w:p w14:paraId="3B41C8CF">
      <w:pPr>
        <w:ind w:firstLine="420" w:firstLineChars="200"/>
        <w:rPr>
          <w:rFonts w:hint="default"/>
          <w:lang w:val="en-US" w:eastAsia="zh-CN"/>
        </w:rPr>
      </w:pPr>
      <w:r>
        <w:rPr>
          <w:rFonts w:hint="eastAsia"/>
        </w:rPr>
        <w:t>本实验所用素材主要基于传统的焰色试验原理，即通过高温下金属或金属化合物中特定元素原子的电子跃迁而发出特征光谱，形成不同颜色的火焰</w:t>
      </w:r>
      <w:r>
        <w:rPr>
          <w:rFonts w:hint="eastAsia"/>
          <w:lang w:eastAsia="zh-CN"/>
        </w:rPr>
        <w:t>。</w:t>
      </w:r>
      <w:r>
        <w:rPr>
          <w:rFonts w:hint="eastAsia"/>
          <w:lang w:val="en-US" w:eastAsia="zh-CN"/>
        </w:rPr>
        <w:t>在利用</w:t>
      </w:r>
      <w:r>
        <w:rPr>
          <w:rFonts w:hint="eastAsia"/>
        </w:rPr>
        <w:t>经典元素（如钠、钾、钙、铜等）的基础上，本创新实验旨在拓宽焰色范围，增强实验效果的同时，探索更为安全、绿色的化学实验方式。这些新材料均来自于符合化学品安全规范的供应商，确保了实验过程的安全性与结果的有效性。</w:t>
      </w:r>
    </w:p>
    <w:p w14:paraId="140DA110">
      <w:pPr>
        <w:widowControl w:val="0"/>
        <w:numPr>
          <w:ilvl w:val="0"/>
          <w:numId w:val="1"/>
        </w:numPr>
        <w:ind w:left="0" w:leftChars="0" w:firstLine="0" w:firstLineChars="0"/>
        <w:jc w:val="both"/>
        <w:rPr>
          <w:rFonts w:hint="eastAsia"/>
          <w:lang w:val="en-US" w:eastAsia="zh-CN"/>
        </w:rPr>
      </w:pPr>
      <w:r>
        <w:rPr>
          <w:rFonts w:hint="eastAsia"/>
          <w:lang w:val="en-US" w:eastAsia="zh-CN"/>
        </w:rPr>
        <w:t>实验目的</w:t>
      </w:r>
    </w:p>
    <w:p w14:paraId="6799268A">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 学会焰色试验的基本操作：利用实验室简单仪器进行焰色试验，了解试验过程中的安全注意事项。</w:t>
      </w:r>
    </w:p>
    <w:p w14:paraId="54475D49">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认识金属元素的焰色特征：识别并记忆不同金属元素在火焰中燃烧时产生的特定颜色，如钠的黄色，铜的绿色，透过蓝色钴玻璃的钾的紫色等。</w:t>
      </w:r>
    </w:p>
    <w:p w14:paraId="35E5C885">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掌握观察与记录方法：学习如何正确观察和记录焰色试验的现象，确保数据的确定性和可靠性；了解并应用辅助工具（如蓝色钴玻璃）以提高观察效果。</w:t>
      </w:r>
    </w:p>
    <w:p w14:paraId="3387E135">
      <w:pPr>
        <w:widowControl w:val="0"/>
        <w:numPr>
          <w:ilvl w:val="0"/>
          <w:numId w:val="1"/>
        </w:numPr>
        <w:ind w:left="0" w:leftChars="0" w:firstLine="0" w:firstLineChars="0"/>
        <w:jc w:val="both"/>
        <w:rPr>
          <w:rFonts w:hint="eastAsia"/>
          <w:lang w:val="en-US" w:eastAsia="zh-CN"/>
        </w:rPr>
      </w:pPr>
      <w:r>
        <w:rPr>
          <w:rFonts w:hint="eastAsia"/>
          <w:lang w:val="en-US" w:eastAsia="zh-CN"/>
        </w:rPr>
        <w:t>实验装置图及说明</w:t>
      </w:r>
    </w:p>
    <w:p w14:paraId="07C738CB">
      <w:pPr>
        <w:widowControl w:val="0"/>
        <w:numPr>
          <w:numId w:val="0"/>
        </w:numPr>
        <w:ind w:firstLine="420" w:firstLineChars="200"/>
        <w:jc w:val="both"/>
        <w:rPr>
          <w:rFonts w:hint="eastAsia"/>
          <w:lang w:eastAsia="zh-CN"/>
        </w:rPr>
      </w:pPr>
      <w:r>
        <w:rPr>
          <w:rFonts w:hint="eastAsia"/>
          <w:lang w:val="en-US" w:eastAsia="zh-CN"/>
        </w:rPr>
        <w:t>本实验采用坩埚盖作为盛装药品的容器，</w:t>
      </w:r>
      <w:r>
        <w:rPr>
          <w:rFonts w:hint="eastAsia"/>
        </w:rPr>
        <w:t>用于承载少量样品，</w:t>
      </w:r>
      <w:r>
        <w:rPr>
          <w:rFonts w:hint="eastAsia"/>
          <w:lang w:val="en-US" w:eastAsia="zh-CN"/>
        </w:rPr>
        <w:t>改变</w:t>
      </w:r>
      <w:r>
        <w:rPr>
          <w:rFonts w:hint="eastAsia"/>
        </w:rPr>
        <w:t>火焰大小，使颜色观察更为清晰</w:t>
      </w:r>
      <w:r>
        <w:rPr>
          <w:rFonts w:hint="eastAsia"/>
          <w:lang w:eastAsia="zh-CN"/>
        </w:rPr>
        <w:t>。</w:t>
      </w:r>
    </w:p>
    <w:p w14:paraId="616B3A6E">
      <w:pPr>
        <w:widowControl w:val="0"/>
        <w:numPr>
          <w:numId w:val="0"/>
        </w:numPr>
        <w:jc w:val="both"/>
        <w:rPr>
          <w:rFonts w:hint="eastAsia"/>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31750</wp:posOffset>
            </wp:positionH>
            <wp:positionV relativeFrom="paragraph">
              <wp:posOffset>45720</wp:posOffset>
            </wp:positionV>
            <wp:extent cx="2476500" cy="1358900"/>
            <wp:effectExtent l="0" t="0" r="0" b="0"/>
            <wp:wrapTight wrapText="bothSides">
              <wp:wrapPolygon>
                <wp:start x="0" y="0"/>
                <wp:lineTo x="0" y="21398"/>
                <wp:lineTo x="21489" y="21398"/>
                <wp:lineTo x="21489" y="0"/>
                <wp:lineTo x="0" y="0"/>
              </wp:wrapPolygon>
            </wp:wrapTight>
            <wp:docPr id="2" name="图片 2" descr="实验装置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实验装置图1"/>
                    <pic:cNvPicPr>
                      <a:picLocks noChangeAspect="1"/>
                    </pic:cNvPicPr>
                  </pic:nvPicPr>
                  <pic:blipFill>
                    <a:blip r:embed="rId4"/>
                    <a:stretch>
                      <a:fillRect/>
                    </a:stretch>
                  </pic:blipFill>
                  <pic:spPr>
                    <a:xfrm>
                      <a:off x="0" y="0"/>
                      <a:ext cx="2476500" cy="1358900"/>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39370</wp:posOffset>
            </wp:positionV>
            <wp:extent cx="2361565" cy="1344930"/>
            <wp:effectExtent l="0" t="0" r="635" b="1270"/>
            <wp:wrapSquare wrapText="bothSides"/>
            <wp:docPr id="1" name="图片 1" descr="实验装置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验装置图2"/>
                    <pic:cNvPicPr>
                      <a:picLocks noChangeAspect="1"/>
                    </pic:cNvPicPr>
                  </pic:nvPicPr>
                  <pic:blipFill>
                    <a:blip r:embed="rId5"/>
                    <a:stretch>
                      <a:fillRect/>
                    </a:stretch>
                  </pic:blipFill>
                  <pic:spPr>
                    <a:xfrm>
                      <a:off x="0" y="0"/>
                      <a:ext cx="2361565" cy="1344930"/>
                    </a:xfrm>
                    <a:prstGeom prst="rect">
                      <a:avLst/>
                    </a:prstGeom>
                  </pic:spPr>
                </pic:pic>
              </a:graphicData>
            </a:graphic>
          </wp:anchor>
        </w:drawing>
      </w:r>
    </w:p>
    <w:p w14:paraId="640C71BD">
      <w:pPr>
        <w:widowControl w:val="0"/>
        <w:numPr>
          <w:ilvl w:val="0"/>
          <w:numId w:val="1"/>
        </w:numPr>
        <w:ind w:left="0" w:leftChars="0" w:firstLine="0" w:firstLineChars="0"/>
        <w:jc w:val="both"/>
        <w:rPr>
          <w:rFonts w:hint="eastAsia"/>
          <w:lang w:val="en-US" w:eastAsia="zh-CN"/>
        </w:rPr>
      </w:pPr>
      <w:r>
        <w:rPr>
          <w:rFonts w:hint="eastAsia"/>
          <w:lang w:val="en-US" w:eastAsia="zh-CN"/>
        </w:rPr>
        <w:t>实验操作及现象</w:t>
      </w:r>
    </w:p>
    <w:p w14:paraId="4BD485A5">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将5个小陶瓷坩埚盖依次固定在试管架的小孔上，制成一种可以长期重复使用的焰色反应装置。</w:t>
      </w:r>
    </w:p>
    <w:p w14:paraId="1965AD98">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分别在5个小陶瓷坩埚盖子对应的试管支架上贴上5个标签，从右到左依次是氯化钠、氯化钾、氯化铜、氯化钡和氯化钙。</w:t>
      </w:r>
    </w:p>
    <w:p w14:paraId="5A1781ED">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将适量的氯化钠、氯化钾、氯化铜、氯化钡和氯化钙固体分贝加入到对应的小坩埚盖中，再向其中各加入适量的无水乙醇。</w:t>
      </w:r>
    </w:p>
    <w:p w14:paraId="4D87EB0D">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点燃乙醇，观察各小坩埚盖中的实验现象：氯化钾火焰呈黄色，透过蓝色钴玻璃氯化钾的焰色为紫色，氯化铜的火焰焰色为绿色，氯化钡为黄绿色，氯化钙为砖红色。</w:t>
      </w:r>
    </w:p>
    <w:p w14:paraId="59B49477">
      <w:pPr>
        <w:widowControl w:val="0"/>
        <w:numPr>
          <w:ilvl w:val="0"/>
          <w:numId w:val="1"/>
        </w:numPr>
        <w:ind w:left="0" w:leftChars="0" w:firstLine="0" w:firstLineChars="0"/>
        <w:jc w:val="both"/>
        <w:rPr>
          <w:rFonts w:hint="eastAsia"/>
          <w:lang w:val="en-US" w:eastAsia="zh-CN"/>
        </w:rPr>
      </w:pPr>
      <w:r>
        <w:rPr>
          <w:rFonts w:hint="eastAsia"/>
          <w:lang w:val="en-US" w:eastAsia="zh-CN"/>
        </w:rPr>
        <w:t>创新的意义</w:t>
      </w:r>
    </w:p>
    <w:p w14:paraId="6C68E1D4">
      <w:pPr>
        <w:widowControl w:val="0"/>
        <w:numPr>
          <w:ilvl w:val="0"/>
          <w:numId w:val="4"/>
        </w:numPr>
        <w:ind w:leftChars="0"/>
        <w:jc w:val="both"/>
        <w:rPr>
          <w:rFonts w:hint="eastAsia"/>
        </w:rPr>
      </w:pPr>
      <w:r>
        <w:rPr>
          <w:rFonts w:hint="eastAsia"/>
        </w:rPr>
        <w:t>通过设计新颖的实验装置和操作流程，学生的动手能力、观察分析能力及创新思维能力得到了显著提升。</w:t>
      </w:r>
    </w:p>
    <w:p w14:paraId="73D05C5D">
      <w:pPr>
        <w:numPr>
          <w:ilvl w:val="0"/>
          <w:numId w:val="4"/>
        </w:numPr>
        <w:ind w:left="0" w:leftChars="0" w:firstLine="0" w:firstLineChars="0"/>
        <w:rPr>
          <w:rFonts w:hint="eastAsia"/>
          <w:lang w:eastAsia="zh-CN"/>
        </w:rPr>
      </w:pPr>
      <w:r>
        <w:rPr>
          <w:rFonts w:hint="eastAsia"/>
        </w:rPr>
        <w:t>采用环保实验材料和处理方式，向学生传递了绿色化学的重要性，培养其未来从事科研工作时考虑环境保护的责任感</w:t>
      </w:r>
      <w:r>
        <w:rPr>
          <w:rFonts w:hint="eastAsia"/>
          <w:lang w:eastAsia="zh-CN"/>
        </w:rPr>
        <w:t>。</w:t>
      </w:r>
    </w:p>
    <w:p w14:paraId="2ACCF3FB">
      <w:pPr>
        <w:numPr>
          <w:ilvl w:val="0"/>
          <w:numId w:val="4"/>
        </w:numPr>
        <w:ind w:left="0" w:leftChars="0" w:firstLine="0" w:firstLineChars="0"/>
        <w:rPr>
          <w:rFonts w:hint="eastAsia"/>
          <w:lang w:eastAsia="zh-CN"/>
        </w:rPr>
      </w:pPr>
      <w:r>
        <w:rPr>
          <w:rFonts w:hint="eastAsia"/>
        </w:rPr>
        <w:t>绚丽多变的火焰颜色极大地激发了学生的学习兴趣，使得原本抽象的化学概念变得生动直观，增强了课堂的教学效果。</w:t>
      </w:r>
    </w:p>
    <w:p w14:paraId="2ACEE458">
      <w:pPr>
        <w:numPr>
          <w:ilvl w:val="0"/>
          <w:numId w:val="4"/>
        </w:numPr>
        <w:ind w:left="0" w:leftChars="0" w:firstLine="0" w:firstLineChars="0"/>
        <w:rPr>
          <w:rFonts w:hint="eastAsia"/>
          <w:lang w:eastAsia="zh-CN"/>
        </w:rPr>
      </w:pPr>
      <w:r>
        <w:rPr>
          <w:rFonts w:hint="eastAsia"/>
          <w:lang w:val="en-US" w:eastAsia="zh-CN"/>
        </w:rPr>
        <w:t>实验中的固体损耗较少，实验可以添加无水乙醇重复实验，并且过程简单易操作，实验现象明显易观察。</w:t>
      </w:r>
      <w:bookmarkStart w:id="0" w:name="_GoBack"/>
      <w:bookmarkEnd w:id="0"/>
    </w:p>
    <w:p w14:paraId="6BDA6D4B">
      <w:pPr>
        <w:widowControl w:val="0"/>
        <w:numPr>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2AA26"/>
    <w:multiLevelType w:val="singleLevel"/>
    <w:tmpl w:val="8BD2AA26"/>
    <w:lvl w:ilvl="0" w:tentative="0">
      <w:start w:val="1"/>
      <w:numFmt w:val="decimal"/>
      <w:lvlText w:val="%1."/>
      <w:lvlJc w:val="left"/>
      <w:pPr>
        <w:tabs>
          <w:tab w:val="left" w:pos="312"/>
        </w:tabs>
      </w:pPr>
    </w:lvl>
  </w:abstractNum>
  <w:abstractNum w:abstractNumId="1">
    <w:nsid w:val="010E0EC2"/>
    <w:multiLevelType w:val="singleLevel"/>
    <w:tmpl w:val="010E0EC2"/>
    <w:lvl w:ilvl="0" w:tentative="0">
      <w:start w:val="1"/>
      <w:numFmt w:val="decimal"/>
      <w:lvlText w:val="%1."/>
      <w:lvlJc w:val="left"/>
      <w:pPr>
        <w:tabs>
          <w:tab w:val="left" w:pos="312"/>
        </w:tabs>
      </w:pPr>
    </w:lvl>
  </w:abstractNum>
  <w:abstractNum w:abstractNumId="2">
    <w:nsid w:val="3B56E55F"/>
    <w:multiLevelType w:val="singleLevel"/>
    <w:tmpl w:val="3B56E55F"/>
    <w:lvl w:ilvl="0" w:tentative="0">
      <w:start w:val="1"/>
      <w:numFmt w:val="chineseCounting"/>
      <w:suff w:val="nothing"/>
      <w:lvlText w:val="%1、"/>
      <w:lvlJc w:val="left"/>
      <w:rPr>
        <w:rFonts w:hint="eastAsia"/>
      </w:rPr>
    </w:lvl>
  </w:abstractNum>
  <w:abstractNum w:abstractNumId="3">
    <w:nsid w:val="433D5C04"/>
    <w:multiLevelType w:val="singleLevel"/>
    <w:tmpl w:val="433D5C04"/>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ZDY1ZTczOWJmNThmMjFhYjhiNWMzNGYyZjE0OTAifQ=="/>
  </w:docVars>
  <w:rsids>
    <w:rsidRoot w:val="00000000"/>
    <w:rsid w:val="7CCE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2024-09-30T00:35:33Z</dcterms:created>
  <dc:creator>lenovo</dc:creator>
  <cp:lastModifiedBy>陈老师</cp:lastModifiedBy>
  <dcterms:modified xsi:type="dcterms:W3CDTF">2024-09-30T01:43:17Z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41B9715B272440089832A23D8C2866AA_12</vt:lpwstr>
  </property>
</Properties>
</file>