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eastAsiaTheme="minor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</w:rPr>
        <w:t>《春望》之炼字的品读</w:t>
      </w:r>
      <w:r>
        <w:rPr>
          <w:rFonts w:hint="eastAsia"/>
          <w:b/>
          <w:bCs/>
          <w:sz w:val="24"/>
          <w:szCs w:val="24"/>
          <w:lang w:val="en-US" w:eastAsia="zh-CN"/>
        </w:rPr>
        <w:t xml:space="preserve"> </w:t>
      </w:r>
    </w:p>
    <w:p>
      <w:pPr>
        <w:jc w:val="center"/>
        <w:rPr>
          <w:b/>
          <w:bCs/>
          <w:sz w:val="24"/>
          <w:szCs w:val="24"/>
        </w:rPr>
      </w:pPr>
    </w:p>
    <w:p>
      <w:pPr>
        <w:jc w:val="both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【教学目标】</w:t>
      </w:r>
    </w:p>
    <w:p>
      <w:pPr>
        <w:jc w:val="both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识记炼字的品读方法，并运用该方法对诗歌进行词语品味</w:t>
      </w:r>
    </w:p>
    <w:p>
      <w:pPr>
        <w:jc w:val="both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【教学内容】</w:t>
      </w:r>
    </w:p>
    <w:p>
      <w:pPr>
        <w:jc w:val="both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1.划分诗歌节奏，形成对诗歌意境格调以及感情基调的整体感知。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2.识记炼字的品读方法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①“……”之意；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②突出了……（什么+怎么样）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③暗示了……（关联核心意象、主题等思考）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④与前（后）文的铺垫或对比</w:t>
      </w:r>
    </w:p>
    <w:p>
      <w:pPr>
        <w:jc w:val="both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⑤体现了诗人因……而……（情感）</w:t>
      </w:r>
    </w:p>
    <w:p>
      <w:pPr>
        <w:jc w:val="both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3.运用炼字的品读方法对诗歌进行词语品味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b w:val="0"/>
          <w:bCs w:val="0"/>
          <w:sz w:val="24"/>
          <w:szCs w:val="24"/>
          <w:lang w:val="en-US" w:eastAsia="zh-CN"/>
        </w:rPr>
      </w:pPr>
    </w:p>
    <w:p>
      <w:pPr>
        <w:jc w:val="both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【教学过程】</w:t>
      </w:r>
    </w:p>
    <w:p>
      <w:pPr>
        <w:jc w:val="both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1.划分诗歌节奏，形成对诗歌意境格调以及感情基调的整体感知。</w:t>
      </w:r>
    </w:p>
    <w:p>
      <w:pPr>
        <w:jc w:val="left"/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>国破/山河在，城春/草木深。</w:t>
      </w:r>
    </w:p>
    <w:p>
      <w:pPr>
        <w:jc w:val="left"/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>感时/花/溅泪，恨别/鸟/惊心。</w:t>
      </w:r>
    </w:p>
    <w:p>
      <w:pPr>
        <w:jc w:val="left"/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>烽火/连三月，家书/抵万金。</w:t>
      </w:r>
    </w:p>
    <w:p>
      <w:pPr>
        <w:jc w:val="left"/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  <w:t>白头/搔更短，浑欲/不胜簪。</w:t>
      </w:r>
    </w:p>
    <w:p>
      <w:pPr>
        <w:jc w:val="both"/>
        <w:rPr>
          <w:rFonts w:hint="eastAsia" w:ascii="仿宋" w:hAnsi="仿宋" w:eastAsia="仿宋" w:cs="仿宋"/>
          <w:b w:val="0"/>
          <w:bCs w:val="0"/>
          <w:sz w:val="24"/>
          <w:szCs w:val="24"/>
          <w:lang w:val="en-US" w:eastAsia="zh-CN"/>
        </w:rPr>
      </w:pPr>
    </w:p>
    <w:p>
      <w:pPr>
        <w:jc w:val="both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明确：《春望》是冷清的意境格调、沉郁的感情基调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2.识记炼字的品读方法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①“……”之意；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②突出了……（什么+怎么样）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③暗示了……（关联核心意象、主题等思考）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④与前（后）文的铺垫或对比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⑤体现了诗人因……而……（情感）</w:t>
      </w:r>
    </w:p>
    <w:p>
      <w:pPr>
        <w:jc w:val="both"/>
        <w:rPr>
          <w:rFonts w:hint="default"/>
          <w:b w:val="0"/>
          <w:bCs w:val="0"/>
          <w:sz w:val="24"/>
          <w:szCs w:val="24"/>
          <w:lang w:val="en-US" w:eastAsia="zh-CN"/>
        </w:rPr>
      </w:pPr>
    </w:p>
    <w:p>
      <w:pPr>
        <w:jc w:val="both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3.运用炼字的品读方法对诗歌进行词语品味</w:t>
      </w:r>
    </w:p>
    <w:p>
      <w:pPr>
        <w:jc w:val="both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（1）赏析“深”字的表达效果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①“茂盛”之意；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②突出了长安今春时节草木的茂盛，概括了望中所见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③暗示了长安城被攻破后的繁华零落、人烟萧索；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④为颔联写草间花开、林下鸟啼，而诗人却无心欣赏灼灼春光做铺垫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⑤体现了诗人因烽火持久、家破人亡、国家倾颓而悲怆、失望</w:t>
      </w:r>
    </w:p>
    <w:p>
      <w:pPr>
        <w:numPr>
          <w:ilvl w:val="0"/>
          <w:numId w:val="0"/>
        </w:numPr>
        <w:jc w:val="both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总结：写望中见，亦露望时心：塑造了一位失意而痴情的爱国者形象。</w:t>
      </w:r>
      <w:bookmarkStart w:id="0" w:name="_GoBack"/>
      <w:bookmarkEnd w:id="0"/>
    </w:p>
    <w:p>
      <w:pPr>
        <w:numPr>
          <w:ilvl w:val="0"/>
          <w:numId w:val="0"/>
        </w:numPr>
        <w:jc w:val="both"/>
        <w:rPr>
          <w:rFonts w:hint="eastAsia"/>
          <w:b w:val="0"/>
          <w:bCs w:val="0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（2）当堂训练： 赏析“深”字的表达效果</w:t>
      </w:r>
    </w:p>
    <w:p>
      <w:pPr>
        <w:numPr>
          <w:ilvl w:val="0"/>
          <w:numId w:val="0"/>
        </w:numPr>
        <w:jc w:val="both"/>
        <w:rPr>
          <w:rFonts w:hint="eastAsia"/>
          <w:b w:val="0"/>
          <w:bCs w:val="0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jc w:val="center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《</w:t>
      </w:r>
      <w:r>
        <w:rPr>
          <w:rFonts w:hint="default"/>
          <w:b w:val="0"/>
          <w:bCs w:val="0"/>
          <w:sz w:val="24"/>
          <w:szCs w:val="24"/>
          <w:lang w:val="en-US" w:eastAsia="zh-CN"/>
        </w:rPr>
        <w:t>赤壁</w:t>
      </w:r>
      <w:r>
        <w:rPr>
          <w:rFonts w:hint="eastAsia"/>
          <w:b w:val="0"/>
          <w:bCs w:val="0"/>
          <w:sz w:val="24"/>
          <w:szCs w:val="24"/>
          <w:lang w:val="en-US" w:eastAsia="zh-CN"/>
        </w:rPr>
        <w:t>》</w:t>
      </w:r>
    </w:p>
    <w:p>
      <w:pPr>
        <w:numPr>
          <w:ilvl w:val="0"/>
          <w:numId w:val="0"/>
        </w:numPr>
        <w:jc w:val="center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default"/>
          <w:b w:val="0"/>
          <w:bCs w:val="0"/>
          <w:sz w:val="24"/>
          <w:szCs w:val="24"/>
          <w:lang w:val="en-US" w:eastAsia="zh-CN"/>
        </w:rPr>
        <w:t>杜牧</w:t>
      </w:r>
    </w:p>
    <w:p>
      <w:pPr>
        <w:numPr>
          <w:ilvl w:val="0"/>
          <w:numId w:val="0"/>
        </w:numPr>
        <w:jc w:val="center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default"/>
          <w:b w:val="0"/>
          <w:bCs w:val="0"/>
          <w:sz w:val="24"/>
          <w:szCs w:val="24"/>
          <w:lang w:val="en-US" w:eastAsia="zh-CN"/>
        </w:rPr>
        <w:t>折戟沉沙铁未销，自将磨洗认前朝。</w:t>
      </w:r>
    </w:p>
    <w:p>
      <w:pPr>
        <w:numPr>
          <w:ilvl w:val="0"/>
          <w:numId w:val="0"/>
        </w:numPr>
        <w:jc w:val="center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default"/>
          <w:b w:val="0"/>
          <w:bCs w:val="0"/>
          <w:sz w:val="24"/>
          <w:szCs w:val="24"/>
          <w:lang w:val="en-US" w:eastAsia="zh-CN"/>
        </w:rPr>
        <w:t>东风不与周郎便，铜雀春深锁二乔。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①“深藏”之意；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②突出了逢春时节深藏于林木之中的铜雀台将要闭锁江东二乔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③暗示了诗人设想东吴兵败的祸患之深、曹操平定江东的气势之壮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④与前句写东风与便周郎的侥幸胜利形成鲜明对比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</w:pPr>
      <w:r>
        <w:rPr>
          <w:rFonts w:hint="default" w:ascii="仿宋" w:hAnsi="仿宋" w:eastAsia="仿宋" w:cs="仿宋"/>
          <w:b w:val="0"/>
          <w:bCs w:val="0"/>
          <w:sz w:val="24"/>
          <w:szCs w:val="24"/>
          <w:lang w:val="en-US" w:eastAsia="zh-CN"/>
        </w:rPr>
        <w:t>⑤体现了诗人因曹操吐哺天下而感喟，流露出胸怀天下的高远之志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总结：感叹历史，也感伤身世，塑造了一位积极进取的有志青年形象。</w:t>
      </w:r>
    </w:p>
    <w:p>
      <w:pPr>
        <w:numPr>
          <w:ilvl w:val="0"/>
          <w:numId w:val="0"/>
        </w:numPr>
        <w:ind w:leftChars="0"/>
        <w:jc w:val="both"/>
        <w:rPr>
          <w:rFonts w:hint="default"/>
          <w:b w:val="0"/>
          <w:bCs w:val="0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ind w:leftChars="0"/>
        <w:jc w:val="both"/>
        <w:rPr>
          <w:rFonts w:hint="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（3）拓展练习：赏析红色的文字</w:t>
      </w:r>
    </w:p>
    <w:p>
      <w:pPr>
        <w:numPr>
          <w:ilvl w:val="0"/>
          <w:numId w:val="0"/>
        </w:numPr>
        <w:ind w:leftChars="0"/>
        <w:jc w:val="center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default"/>
          <w:b w:val="0"/>
          <w:bCs w:val="0"/>
          <w:sz w:val="24"/>
          <w:szCs w:val="24"/>
          <w:lang w:val="en-US" w:eastAsia="zh-CN"/>
        </w:rPr>
        <w:t>雁门太守行</w:t>
      </w:r>
    </w:p>
    <w:p>
      <w:pPr>
        <w:numPr>
          <w:ilvl w:val="0"/>
          <w:numId w:val="0"/>
        </w:numPr>
        <w:ind w:leftChars="0"/>
        <w:jc w:val="center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default"/>
          <w:b w:val="0"/>
          <w:bCs w:val="0"/>
          <w:sz w:val="24"/>
          <w:szCs w:val="24"/>
          <w:lang w:val="en-US" w:eastAsia="zh-CN"/>
        </w:rPr>
        <w:t>李贺</w:t>
      </w:r>
    </w:p>
    <w:p>
      <w:pPr>
        <w:numPr>
          <w:ilvl w:val="0"/>
          <w:numId w:val="0"/>
        </w:numPr>
        <w:ind w:leftChars="0"/>
        <w:jc w:val="center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default"/>
          <w:b/>
          <w:bCs/>
          <w:color w:val="FF0000"/>
          <w:sz w:val="24"/>
          <w:szCs w:val="24"/>
          <w:highlight w:val="none"/>
          <w:lang w:val="en-US" w:eastAsia="zh-CN"/>
        </w:rPr>
        <w:t>黑</w:t>
      </w:r>
      <w:r>
        <w:rPr>
          <w:rFonts w:hint="default"/>
          <w:b w:val="0"/>
          <w:bCs w:val="0"/>
          <w:sz w:val="24"/>
          <w:szCs w:val="24"/>
          <w:lang w:val="en-US" w:eastAsia="zh-CN"/>
        </w:rPr>
        <w:t>云</w:t>
      </w:r>
      <w:r>
        <w:rPr>
          <w:rFonts w:hint="default"/>
          <w:b/>
          <w:bCs/>
          <w:color w:val="FF0000"/>
          <w:sz w:val="24"/>
          <w:szCs w:val="24"/>
          <w:highlight w:val="none"/>
          <w:lang w:val="en-US" w:eastAsia="zh-CN"/>
        </w:rPr>
        <w:t>压</w:t>
      </w:r>
      <w:r>
        <w:rPr>
          <w:rFonts w:hint="default"/>
          <w:b w:val="0"/>
          <w:bCs w:val="0"/>
          <w:sz w:val="24"/>
          <w:szCs w:val="24"/>
          <w:lang w:val="en-US" w:eastAsia="zh-CN"/>
        </w:rPr>
        <w:t>城城欲摧，甲光向日</w:t>
      </w:r>
      <w:r>
        <w:rPr>
          <w:rFonts w:hint="default"/>
          <w:b/>
          <w:bCs/>
          <w:color w:val="FF0000"/>
          <w:sz w:val="24"/>
          <w:szCs w:val="24"/>
          <w:highlight w:val="none"/>
          <w:lang w:val="en-US" w:eastAsia="zh-CN"/>
        </w:rPr>
        <w:t>金</w:t>
      </w:r>
      <w:r>
        <w:rPr>
          <w:rFonts w:hint="default"/>
          <w:b w:val="0"/>
          <w:bCs w:val="0"/>
          <w:sz w:val="24"/>
          <w:szCs w:val="24"/>
          <w:lang w:val="en-US" w:eastAsia="zh-CN"/>
        </w:rPr>
        <w:t>鳞开。</w:t>
      </w:r>
    </w:p>
    <w:p>
      <w:pPr>
        <w:numPr>
          <w:ilvl w:val="0"/>
          <w:numId w:val="0"/>
        </w:numPr>
        <w:ind w:leftChars="0"/>
        <w:jc w:val="center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default"/>
          <w:b w:val="0"/>
          <w:bCs w:val="0"/>
          <w:sz w:val="24"/>
          <w:szCs w:val="24"/>
          <w:lang w:val="en-US" w:eastAsia="zh-CN"/>
        </w:rPr>
        <w:t>角声</w:t>
      </w:r>
      <w:r>
        <w:rPr>
          <w:rFonts w:hint="default"/>
          <w:b/>
          <w:bCs/>
          <w:color w:val="FF0000"/>
          <w:sz w:val="24"/>
          <w:szCs w:val="24"/>
          <w:highlight w:val="none"/>
          <w:lang w:val="en-US" w:eastAsia="zh-CN"/>
        </w:rPr>
        <w:t>满</w:t>
      </w:r>
      <w:r>
        <w:rPr>
          <w:rFonts w:hint="default"/>
          <w:b w:val="0"/>
          <w:bCs w:val="0"/>
          <w:sz w:val="24"/>
          <w:szCs w:val="24"/>
          <w:lang w:val="en-US" w:eastAsia="zh-CN"/>
        </w:rPr>
        <w:t>天秋色里，塞上燕脂</w:t>
      </w:r>
      <w:r>
        <w:rPr>
          <w:rFonts w:hint="default"/>
          <w:b/>
          <w:bCs/>
          <w:color w:val="FF0000"/>
          <w:sz w:val="24"/>
          <w:szCs w:val="24"/>
          <w:highlight w:val="none"/>
          <w:lang w:val="en-US" w:eastAsia="zh-CN"/>
        </w:rPr>
        <w:t>凝</w:t>
      </w:r>
      <w:r>
        <w:rPr>
          <w:rFonts w:hint="default"/>
          <w:b w:val="0"/>
          <w:bCs w:val="0"/>
          <w:sz w:val="24"/>
          <w:szCs w:val="24"/>
          <w:lang w:val="en-US" w:eastAsia="zh-CN"/>
        </w:rPr>
        <w:t>夜</w:t>
      </w:r>
      <w:r>
        <w:rPr>
          <w:rFonts w:hint="default"/>
          <w:b/>
          <w:bCs/>
          <w:color w:val="FF0000"/>
          <w:sz w:val="24"/>
          <w:szCs w:val="24"/>
          <w:highlight w:val="none"/>
          <w:lang w:val="en-US" w:eastAsia="zh-CN"/>
        </w:rPr>
        <w:t>紫</w:t>
      </w:r>
      <w:r>
        <w:rPr>
          <w:rFonts w:hint="default"/>
          <w:b w:val="0"/>
          <w:bCs w:val="0"/>
          <w:sz w:val="24"/>
          <w:szCs w:val="24"/>
          <w:lang w:val="en-US" w:eastAsia="zh-CN"/>
        </w:rPr>
        <w:t>。</w:t>
      </w:r>
    </w:p>
    <w:p>
      <w:pPr>
        <w:numPr>
          <w:ilvl w:val="0"/>
          <w:numId w:val="0"/>
        </w:numPr>
        <w:ind w:leftChars="0"/>
        <w:jc w:val="center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default"/>
          <w:b w:val="0"/>
          <w:bCs w:val="0"/>
          <w:sz w:val="24"/>
          <w:szCs w:val="24"/>
          <w:lang w:val="en-US" w:eastAsia="zh-CN"/>
        </w:rPr>
        <w:t>半卷红旗临易水，霜重鼓寒声不起。</w:t>
      </w:r>
    </w:p>
    <w:p>
      <w:pPr>
        <w:numPr>
          <w:ilvl w:val="0"/>
          <w:numId w:val="0"/>
        </w:numPr>
        <w:ind w:leftChars="0"/>
        <w:jc w:val="center"/>
        <w:rPr>
          <w:rFonts w:hint="default"/>
          <w:b w:val="0"/>
          <w:bCs w:val="0"/>
          <w:sz w:val="24"/>
          <w:szCs w:val="24"/>
          <w:lang w:val="en-US" w:eastAsia="zh-CN"/>
        </w:rPr>
      </w:pPr>
      <w:r>
        <w:rPr>
          <w:rFonts w:hint="default"/>
          <w:b w:val="0"/>
          <w:bCs w:val="0"/>
          <w:sz w:val="24"/>
          <w:szCs w:val="24"/>
          <w:lang w:val="en-US" w:eastAsia="zh-CN"/>
        </w:rPr>
        <w:t>报君黄金台上意，提携玉龙为君死。</w:t>
      </w:r>
    </w:p>
    <w:p>
      <w:pPr>
        <w:jc w:val="both"/>
        <w:rPr>
          <w:rFonts w:hint="eastAsia"/>
          <w:b w:val="0"/>
          <w:bCs w:val="0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gwMDc5OGUwM2FhZjgwM2EzMTI4ODczM2E5OTEyMTIifQ=="/>
  </w:docVars>
  <w:rsids>
    <w:rsidRoot w:val="50906B4D"/>
    <w:rsid w:val="31D826DA"/>
    <w:rsid w:val="50906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774</Words>
  <Characters>780</Characters>
  <Lines>0</Lines>
  <Paragraphs>0</Paragraphs>
  <TotalTime>4</TotalTime>
  <ScaleCrop>false</ScaleCrop>
  <LinksUpToDate>false</LinksUpToDate>
  <CharactersWithSpaces>782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2022-12-20T02:48:00Z</dcterms:created>
  <dc:creator>鄳曐寔僨</dc:creator>
  <cp:lastModifiedBy>鄳曐寔僨</cp:lastModifiedBy>
  <dcterms:modified xsi:type="dcterms:W3CDTF">2022-12-20T07:08:04Z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C2EDBABC651D48C79F227A1E0AB375FC</vt:lpwstr>
  </property>
</Properties>
</file>